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Минстрой России: представляется целесообразным осуществление управляющими многоквартирными домами организациями контроля качества воды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Согласно пункту 18 Правил содержания общего имущества в многоквартирном доме, утвержденных Постановлением Правительства РФ от 13.08.2006 N 491, текущий ремонт общего имущества проводится по решению общего собрания собственников помещений (далее - ОСС)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или его отдельных элементов (без замены ограждающих несущих конструкций, лифтов).</w:t>
      </w:r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Работы по текущему ремонту - это работы разового характера, выполняемые в определенные сроки в отношении определенного элемента общего имущества, технические характеристики которого необходимо восстановить. Состав работ по текущему ремонту не может быть установлен законом и не может быть утвержден договором управления МКД. Он утверждается исключительно ОСС по согласованию с управляющей организацией. Для выполнения конкретной работы в рамках текущего ремонта соответствующего решения ОСС не требуется только в случае, если имеется утвержденный в рамках ОСС перечень таких работ.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2026-08-13T07:58:21Z</dcterms:modified>
</cp:coreProperties>
</file>